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Arial" w:eastAsia="Arial" w:hAnsi="Arial" w:cs="Arial"/>
          <w:sz w:val="24"/>
        </w:rPr>
      </w:pP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PROJETO DE LEI Nº___/2017</w:t>
      </w: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rPr>
          <w:rFonts w:ascii="Arial" w:eastAsia="Arial" w:hAnsi="Arial" w:cs="Arial"/>
          <w:b/>
          <w:color w:val="000000"/>
          <w:sz w:val="24"/>
          <w:u w:val="single"/>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rPr>
          <w:rFonts w:ascii="Arial" w:eastAsia="Arial" w:hAnsi="Arial" w:cs="Arial"/>
          <w:b/>
          <w:color w:val="000000"/>
          <w:sz w:val="24"/>
          <w:u w:val="single"/>
        </w:rPr>
      </w:pPr>
    </w:p>
    <w:p w:rsidR="000A2078" w:rsidRDefault="00865BE4">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after="120" w:line="360" w:lineRule="auto"/>
        <w:ind w:left="396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DISPÕE SOBRE DIÁRIAS DOS VEREADORES E SERVIDORES DA CÂMARA MUNICIPAL DE PERDÕES E DÁ OUTRAS PROVIDÊNCIAS.</w:t>
      </w:r>
    </w:p>
    <w:p w:rsidR="000A2078" w:rsidRDefault="000A2078">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after="120" w:line="240" w:lineRule="auto"/>
        <w:ind w:left="3402" w:right="850"/>
        <w:rPr>
          <w:rFonts w:ascii="Arial" w:eastAsia="Arial" w:hAnsi="Arial" w:cs="Arial"/>
          <w:sz w:val="24"/>
        </w:rPr>
      </w:pPr>
    </w:p>
    <w:p w:rsidR="000A2078" w:rsidRDefault="000A2078">
      <w:pPr>
        <w:tabs>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120" w:after="120" w:line="240" w:lineRule="auto"/>
        <w:ind w:left="3402" w:right="850"/>
        <w:rPr>
          <w:rFonts w:ascii="Arial" w:eastAsia="Arial" w:hAnsi="Arial" w:cs="Arial"/>
          <w:sz w:val="24"/>
        </w:rPr>
      </w:pP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A Mesa Diretora da Câmara Municipal de Perdões, nos termos do Regimento Interno, apresenta o seguinte Projeto de Lei:</w:t>
      </w: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jc w:val="both"/>
        <w:rPr>
          <w:rFonts w:ascii="Times New Roman" w:eastAsia="Times New Roman" w:hAnsi="Times New Roman" w:cs="Times New Roman"/>
          <w:sz w:val="24"/>
        </w:rPr>
      </w:pP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A Câmara Municipal de Perdões, por seus representantes, aprovou e eu promulgo a seguinte Lei:</w:t>
      </w: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jc w:val="both"/>
        <w:rPr>
          <w:rFonts w:ascii="Times New Roman" w:eastAsia="Times New Roman" w:hAnsi="Times New Roman" w:cs="Times New Roman"/>
          <w:sz w:val="24"/>
        </w:rPr>
      </w:pP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Art. 1º - Os Vereadores e S</w:t>
      </w:r>
      <w:bookmarkStart w:id="0" w:name="_GoBack"/>
      <w:bookmarkEnd w:id="0"/>
      <w:r>
        <w:rPr>
          <w:rFonts w:ascii="Times New Roman" w:eastAsia="Times New Roman" w:hAnsi="Times New Roman" w:cs="Times New Roman"/>
          <w:sz w:val="24"/>
        </w:rPr>
        <w:t>ervidores do Poder Legislativo de Perdões que, em caráter eventual ou transitório, necessitar deslocar-se da sede onde exerçam sua</w:t>
      </w:r>
      <w:r>
        <w:rPr>
          <w:rFonts w:ascii="Times New Roman" w:eastAsia="Times New Roman" w:hAnsi="Times New Roman" w:cs="Times New Roman"/>
          <w:sz w:val="24"/>
        </w:rPr>
        <w:t xml:space="preserve">s atividades ou quanto tiverem que deixar a cidade onde residem, a serviço ou por algum evento em função do Poder Legislativo </w:t>
      </w:r>
      <w:proofErr w:type="gramStart"/>
      <w:r>
        <w:rPr>
          <w:rFonts w:ascii="Times New Roman" w:eastAsia="Times New Roman" w:hAnsi="Times New Roman" w:cs="Times New Roman"/>
          <w:sz w:val="24"/>
        </w:rPr>
        <w:t>terão</w:t>
      </w:r>
      <w:proofErr w:type="gramEnd"/>
      <w:r>
        <w:rPr>
          <w:rFonts w:ascii="Times New Roman" w:eastAsia="Times New Roman" w:hAnsi="Times New Roman" w:cs="Times New Roman"/>
          <w:sz w:val="24"/>
        </w:rPr>
        <w:t xml:space="preserve"> direito a diárias.</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§1º – Compreende-se diária como indenização pelas despesas extraordinárias com hospedagem, alimentação e</w:t>
      </w:r>
      <w:r>
        <w:rPr>
          <w:rFonts w:ascii="Times New Roman" w:eastAsia="Times New Roman" w:hAnsi="Times New Roman" w:cs="Times New Roman"/>
          <w:sz w:val="24"/>
        </w:rPr>
        <w:t xml:space="preserve"> locomoção urbana, durante o período de deslocamento a serviço ou para algum evento em função do Poder Legislativo de Perdões.</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§2º - As diárias destinadas à cobertura de despesas com Cursos, Congressos, Convenções, Seminários, reunião de cunho social, con</w:t>
      </w:r>
      <w:r>
        <w:rPr>
          <w:rFonts w:ascii="Times New Roman" w:eastAsia="Times New Roman" w:hAnsi="Times New Roman" w:cs="Times New Roman"/>
          <w:sz w:val="24"/>
        </w:rPr>
        <w:t>tatos políticos ou outros eventos de caráter cívico, ou de interesse da Câmara.</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Art. 2º - A diária de que trata o art. 1º será paga:</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I – antecipadamente, quando requerida para a participação em Cursos, Congressos, Convenções, Seminários, reunião de cunho</w:t>
      </w:r>
      <w:r>
        <w:rPr>
          <w:rFonts w:ascii="Times New Roman" w:eastAsia="Times New Roman" w:hAnsi="Times New Roman" w:cs="Times New Roman"/>
          <w:sz w:val="24"/>
        </w:rPr>
        <w:t xml:space="preserve"> social, contatos políticos, ou outros eventos de caráter cívico, ou a serviço da Câmara, com duração pré-determinada;</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II – posteriormente, após o regresso do favorecido, quando se tratar de ausência por tempo indeterminado, para atender a serviços de int</w:t>
      </w:r>
      <w:r>
        <w:rPr>
          <w:rFonts w:ascii="Times New Roman" w:eastAsia="Times New Roman" w:hAnsi="Times New Roman" w:cs="Times New Roman"/>
          <w:sz w:val="24"/>
        </w:rPr>
        <w:t>eresse do Poder Legislativo.</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Art. 3º - A despesa de diária será realizada mediante empenho prévio e quitada através de Nota de Empenho, com especificação detalhada sobre o objetivo da viagem, data de autorização e assinatura do Presidente que aprovou a de</w:t>
      </w:r>
      <w:r>
        <w:rPr>
          <w:rFonts w:ascii="Times New Roman" w:eastAsia="Times New Roman" w:hAnsi="Times New Roman" w:cs="Times New Roman"/>
          <w:sz w:val="24"/>
        </w:rPr>
        <w:t>spesa para o favorecido.</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Art. 4º - O pedido de concessão de diárias a Vereadores e Servidores no exercício de suas funções se dará mediante Requisição de Diária, conforme Anexo I desta Lei.</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§1º – Após solicitação para a concessão de diárias, o Presidente</w:t>
      </w:r>
      <w:r>
        <w:rPr>
          <w:rFonts w:ascii="Times New Roman" w:eastAsia="Times New Roman" w:hAnsi="Times New Roman" w:cs="Times New Roman"/>
          <w:sz w:val="24"/>
        </w:rPr>
        <w:t xml:space="preserve"> da Câmara Municipal, autorizará ou não as mesmas, seguindo o trâmite para a fase de verificação da existência de dotação orçamentária. </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§2º - O requerente poderá solicitar a utilização de veículo próprio da Câmara, desde que disponível, sendo que o Presi</w:t>
      </w:r>
      <w:r>
        <w:rPr>
          <w:rFonts w:ascii="Times New Roman" w:eastAsia="Times New Roman" w:hAnsi="Times New Roman" w:cs="Times New Roman"/>
          <w:sz w:val="24"/>
        </w:rPr>
        <w:t>dente da Câmara terá prioridade e em caso da não utilização será autorizado aos demais Vereadores e Servidores conforme ordem de solicitações.</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Art. 5º - As despesa com passagens rodoviárias ou aéreas correrão por conta de dotação própria da Câmara Municip</w:t>
      </w:r>
      <w:r>
        <w:rPr>
          <w:rFonts w:ascii="Times New Roman" w:eastAsia="Times New Roman" w:hAnsi="Times New Roman" w:cs="Times New Roman"/>
          <w:sz w:val="24"/>
        </w:rPr>
        <w:t>al devendo:</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I – as despesa com passagens rodoviárias ou aéreas serem comprovadas por documentos emitidos pela empresa transportadora;</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II – as despesas com combustíveis e lubrificantes serão autorizadas pelo Presidente da Câmara, somente para abastecimento de veículo próprio da Câmara, que constará obrigatoriamente a placa do veículo e o nome do Servidor ou Vereador que ficará responsável</w:t>
      </w:r>
      <w:r>
        <w:rPr>
          <w:rFonts w:ascii="Times New Roman" w:eastAsia="Times New Roman" w:hAnsi="Times New Roman" w:cs="Times New Roman"/>
          <w:sz w:val="24"/>
        </w:rPr>
        <w:t xml:space="preserve"> pelo veículo e o conduzirá como motorista, estando o mesmo devidamente habilitado e não podendo ceder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direção a terceiros.</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§1º - As despesas com combustíveis realizadas durante as viagens serão pagas pelo Vereador ou Servidor e repostas com verbas de d</w:t>
      </w:r>
      <w:r>
        <w:rPr>
          <w:rFonts w:ascii="Times New Roman" w:eastAsia="Times New Roman" w:hAnsi="Times New Roman" w:cs="Times New Roman"/>
          <w:sz w:val="24"/>
        </w:rPr>
        <w:t xml:space="preserve">otações próprias após o regresso da viagem e com a devida comprovação dos gastos, compatíveis com a quilometragem rodada e consumo do veículo. </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§2º – O veículo sairá da </w:t>
      </w:r>
      <w:proofErr w:type="gramStart"/>
      <w:r>
        <w:rPr>
          <w:rFonts w:ascii="Times New Roman" w:eastAsia="Times New Roman" w:hAnsi="Times New Roman" w:cs="Times New Roman"/>
          <w:sz w:val="24"/>
        </w:rPr>
        <w:t>Câmara abastecido</w:t>
      </w:r>
      <w:proofErr w:type="gramEnd"/>
      <w:r>
        <w:rPr>
          <w:rFonts w:ascii="Times New Roman" w:eastAsia="Times New Roman" w:hAnsi="Times New Roman" w:cs="Times New Roman"/>
          <w:sz w:val="24"/>
        </w:rPr>
        <w:t xml:space="preserve"> para viagem e os demais gastos com combustíveis e seus respectivos c</w:t>
      </w:r>
      <w:r>
        <w:rPr>
          <w:rFonts w:ascii="Times New Roman" w:eastAsia="Times New Roman" w:hAnsi="Times New Roman" w:cs="Times New Roman"/>
          <w:sz w:val="24"/>
        </w:rPr>
        <w:t>omprovantes definidos neste artigo serão entregues à tesouraria da Câmara no prazo de 10 (dez) dias úteis, após o regresso do favorecido para a devida restituição dos valores gastos.</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 xml:space="preserve">Art. 6º - Os valores da diária serão fixados conforme Quadro de </w:t>
      </w:r>
      <w:proofErr w:type="gramStart"/>
      <w:r>
        <w:rPr>
          <w:rFonts w:ascii="Times New Roman" w:eastAsia="Times New Roman" w:hAnsi="Times New Roman" w:cs="Times New Roman"/>
          <w:sz w:val="24"/>
        </w:rPr>
        <w:t xml:space="preserve">Diárias </w:t>
      </w:r>
      <w:r>
        <w:rPr>
          <w:rFonts w:ascii="Times New Roman" w:eastAsia="Times New Roman" w:hAnsi="Times New Roman" w:cs="Times New Roman"/>
          <w:sz w:val="24"/>
        </w:rPr>
        <w:t>- Anexo II desta Lei</w:t>
      </w:r>
      <w:proofErr w:type="gramEnd"/>
      <w:r>
        <w:rPr>
          <w:rFonts w:ascii="Times New Roman" w:eastAsia="Times New Roman" w:hAnsi="Times New Roman" w:cs="Times New Roman"/>
          <w:sz w:val="24"/>
        </w:rPr>
        <w:t>, conforme utilização ou não do veículo próprio da Câmara.</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Parágrafo único - Os valores consignados no Quadro de Diárias, serão corrigidos anualmente pelo Índice Geral de Preços do Mercado- IGPM/FGV, acumulado, considerando o termo ini</w:t>
      </w:r>
      <w:r>
        <w:rPr>
          <w:rFonts w:ascii="Times New Roman" w:eastAsia="Times New Roman" w:hAnsi="Times New Roman" w:cs="Times New Roman"/>
          <w:sz w:val="24"/>
        </w:rPr>
        <w:t>cial o mês da publicação desta Lei.</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Art. 7° O Vereador ou servidor que receber diárias para participação em Cursos, Congressos, Convenções, Seminários, reunião de cunho social, contatos políticos ou outro evento de caráter cívico, ou de interesse da Câmara, apresentará relatório das atividad</w:t>
      </w:r>
      <w:r>
        <w:rPr>
          <w:rFonts w:ascii="Times New Roman" w:eastAsia="Times New Roman" w:hAnsi="Times New Roman" w:cs="Times New Roman"/>
          <w:sz w:val="24"/>
        </w:rPr>
        <w:t xml:space="preserve">es exercidas fora do Município, conforme Anexo III, no prazo de até 10 (dez) dias úteis, contados do retorno a sede, </w:t>
      </w:r>
      <w:proofErr w:type="gramStart"/>
      <w:r>
        <w:rPr>
          <w:rFonts w:ascii="Times New Roman" w:eastAsia="Times New Roman" w:hAnsi="Times New Roman" w:cs="Times New Roman"/>
          <w:sz w:val="24"/>
        </w:rPr>
        <w:t>sob pena</w:t>
      </w:r>
      <w:proofErr w:type="gramEnd"/>
      <w:r>
        <w:rPr>
          <w:rFonts w:ascii="Times New Roman" w:eastAsia="Times New Roman" w:hAnsi="Times New Roman" w:cs="Times New Roman"/>
          <w:sz w:val="24"/>
        </w:rPr>
        <w:t xml:space="preserve"> de devolução do valor recebido.</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Parágrafo único – O Vereador ou servidor deverá anexar ao relatório de atividades documentos que </w:t>
      </w:r>
      <w:r>
        <w:rPr>
          <w:rFonts w:ascii="Times New Roman" w:eastAsia="Times New Roman" w:hAnsi="Times New Roman" w:cs="Times New Roman"/>
          <w:sz w:val="24"/>
        </w:rPr>
        <w:t>comprovem o objetivo da viagem, tais como declaração de comparecimento em gabinete, declaração ou certificado de participação em congressos, palestras, cursos ou eventos similares.</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Art. 8º - Esta Lei entra em vigor na data de sua publicação, revogando os </w:t>
      </w:r>
      <w:r>
        <w:rPr>
          <w:rFonts w:ascii="Times New Roman" w:eastAsia="Times New Roman" w:hAnsi="Times New Roman" w:cs="Times New Roman"/>
          <w:sz w:val="24"/>
        </w:rPr>
        <w:t>dispositivos em contrário.</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A2078" w:rsidRDefault="000A2078">
      <w:pPr>
        <w:spacing w:before="120" w:after="120" w:line="259" w:lineRule="auto"/>
        <w:rPr>
          <w:rFonts w:ascii="Times New Roman" w:eastAsia="Times New Roman" w:hAnsi="Times New Roman" w:cs="Times New Roman"/>
          <w:sz w:val="24"/>
        </w:rPr>
      </w:pP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ANEXO I</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REQUISIÇÃO DE DIÁRIA</w:t>
      </w:r>
    </w:p>
    <w:tbl>
      <w:tblPr>
        <w:tblW w:w="0" w:type="auto"/>
        <w:tblInd w:w="98" w:type="dxa"/>
        <w:tblCellMar>
          <w:left w:w="10" w:type="dxa"/>
          <w:right w:w="10" w:type="dxa"/>
        </w:tblCellMar>
        <w:tblLook w:val="0000" w:firstRow="0" w:lastRow="0" w:firstColumn="0" w:lastColumn="0" w:noHBand="0" w:noVBand="0"/>
      </w:tblPr>
      <w:tblGrid>
        <w:gridCol w:w="8622"/>
      </w:tblGrid>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Nome:</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Objetivo da Viagem:</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Destino:</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Período:</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 xml:space="preserve">Diária </w:t>
            </w: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Sem pernoite  (      )  Com pernoite  (      )  Interior  (      )  Estado  (      )  BHTE</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 xml:space="preserve">Transporte: </w:t>
            </w: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Veículo CMP (     ) Ônibus (     ) </w:t>
            </w:r>
            <w:proofErr w:type="spellStart"/>
            <w:r>
              <w:rPr>
                <w:rFonts w:ascii="Times New Roman" w:eastAsia="Times New Roman" w:hAnsi="Times New Roman" w:cs="Times New Roman"/>
                <w:b/>
                <w:sz w:val="24"/>
              </w:rPr>
              <w:t>Passag</w:t>
            </w:r>
            <w:proofErr w:type="spellEnd"/>
            <w:r>
              <w:rPr>
                <w:rFonts w:ascii="Times New Roman" w:eastAsia="Times New Roman" w:hAnsi="Times New Roman" w:cs="Times New Roman"/>
                <w:b/>
                <w:sz w:val="24"/>
              </w:rPr>
              <w:t>. Área</w:t>
            </w: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 Taxi  (     ) </w:t>
            </w:r>
            <w:r>
              <w:rPr>
                <w:rFonts w:ascii="Times New Roman" w:eastAsia="Times New Roman" w:hAnsi="Times New Roman" w:cs="Times New Roman"/>
                <w:b/>
                <w:sz w:val="24"/>
              </w:rPr>
              <w:lastRenderedPageBreak/>
              <w:t>Outros</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lastRenderedPageBreak/>
              <w:t>Data                                                      Assinatura Requerente</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Autorização Presidente da Câmara</w:t>
            </w:r>
          </w:p>
        </w:tc>
      </w:tr>
    </w:tbl>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0A2078" w:rsidRDefault="000A2078">
      <w:pPr>
        <w:spacing w:after="160" w:line="259" w:lineRule="auto"/>
        <w:rPr>
          <w:rFonts w:ascii="Times New Roman" w:eastAsia="Times New Roman" w:hAnsi="Times New Roman" w:cs="Times New Roman"/>
          <w:b/>
          <w:sz w:val="24"/>
        </w:rPr>
      </w:pP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ANEXO II</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QUADRO DE DIÁRIAS </w:t>
      </w:r>
    </w:p>
    <w:tbl>
      <w:tblPr>
        <w:tblW w:w="0" w:type="auto"/>
        <w:jc w:val="center"/>
        <w:tblCellMar>
          <w:left w:w="10" w:type="dxa"/>
          <w:right w:w="10" w:type="dxa"/>
        </w:tblCellMar>
        <w:tblLook w:val="0000" w:firstRow="0" w:lastRow="0" w:firstColumn="0" w:lastColumn="0" w:noHBand="0" w:noVBand="0"/>
      </w:tblPr>
      <w:tblGrid>
        <w:gridCol w:w="6588"/>
        <w:gridCol w:w="2056"/>
      </w:tblGrid>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b/>
                <w:sz w:val="24"/>
              </w:rPr>
              <w:t>DESTINO SEM A UTILIZAÇÃO DE VEÍCULO DA CÂMARA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b/>
                <w:sz w:val="24"/>
              </w:rPr>
              <w:t>VALOR</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 xml:space="preserve"> Interior do Estado, sem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150,00</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t>2)</w:t>
            </w:r>
            <w:proofErr w:type="gramEnd"/>
            <w:r>
              <w:rPr>
                <w:rFonts w:ascii="Times New Roman" w:eastAsia="Times New Roman" w:hAnsi="Times New Roman" w:cs="Times New Roman"/>
                <w:sz w:val="24"/>
              </w:rPr>
              <w:t xml:space="preserve"> Interior do Estado, com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250,00</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t>3)</w:t>
            </w:r>
            <w:proofErr w:type="gramEnd"/>
            <w:r>
              <w:rPr>
                <w:rFonts w:ascii="Times New Roman" w:eastAsia="Times New Roman" w:hAnsi="Times New Roman" w:cs="Times New Roman"/>
                <w:sz w:val="24"/>
              </w:rPr>
              <w:t xml:space="preserve"> Capital do Estado, sem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350,00</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t>4)</w:t>
            </w:r>
            <w:proofErr w:type="gramEnd"/>
            <w:r>
              <w:rPr>
                <w:rFonts w:ascii="Times New Roman" w:eastAsia="Times New Roman" w:hAnsi="Times New Roman" w:cs="Times New Roman"/>
                <w:sz w:val="24"/>
              </w:rPr>
              <w:t xml:space="preserve"> Capital do Estado, com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450,00</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t>5)</w:t>
            </w:r>
            <w:proofErr w:type="gramEnd"/>
            <w:r>
              <w:rPr>
                <w:rFonts w:ascii="Times New Roman" w:eastAsia="Times New Roman" w:hAnsi="Times New Roman" w:cs="Times New Roman"/>
                <w:sz w:val="24"/>
              </w:rPr>
              <w:t xml:space="preserve"> Para outros Estados , sem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550,00</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t>6)</w:t>
            </w:r>
            <w:proofErr w:type="gramEnd"/>
            <w:r>
              <w:rPr>
                <w:rFonts w:ascii="Times New Roman" w:eastAsia="Times New Roman" w:hAnsi="Times New Roman" w:cs="Times New Roman"/>
                <w:sz w:val="24"/>
              </w:rPr>
              <w:t xml:space="preserve"> Para outros Estados, com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800,00</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b/>
                <w:sz w:val="24"/>
              </w:rPr>
              <w:t>DESTINO COM A UTILIZAÇÃO DE VEÍCULO PRÓPRIO DA CÂMARA</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b/>
                <w:sz w:val="24"/>
              </w:rPr>
              <w:t>VALOR</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 xml:space="preserve"> Interior do Estado, sem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100,00</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t>2)</w:t>
            </w:r>
            <w:proofErr w:type="gramEnd"/>
            <w:r>
              <w:rPr>
                <w:rFonts w:ascii="Times New Roman" w:eastAsia="Times New Roman" w:hAnsi="Times New Roman" w:cs="Times New Roman"/>
                <w:sz w:val="24"/>
              </w:rPr>
              <w:t xml:space="preserve"> Interior do Estado, com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175,00</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t>3)</w:t>
            </w:r>
            <w:proofErr w:type="gramEnd"/>
            <w:r>
              <w:rPr>
                <w:rFonts w:ascii="Times New Roman" w:eastAsia="Times New Roman" w:hAnsi="Times New Roman" w:cs="Times New Roman"/>
                <w:sz w:val="24"/>
              </w:rPr>
              <w:t xml:space="preserve"> Capital do Estado, sem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250,00</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t>4)</w:t>
            </w:r>
            <w:proofErr w:type="gramEnd"/>
            <w:r>
              <w:rPr>
                <w:rFonts w:ascii="Times New Roman" w:eastAsia="Times New Roman" w:hAnsi="Times New Roman" w:cs="Times New Roman"/>
                <w:sz w:val="24"/>
              </w:rPr>
              <w:t xml:space="preserve"> Capital do Estado, com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315,00</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t>5)</w:t>
            </w:r>
            <w:proofErr w:type="gramEnd"/>
            <w:r>
              <w:rPr>
                <w:rFonts w:ascii="Times New Roman" w:eastAsia="Times New Roman" w:hAnsi="Times New Roman" w:cs="Times New Roman"/>
                <w:sz w:val="24"/>
              </w:rPr>
              <w:t xml:space="preserve"> Para outros Estados , sem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385,00</w:t>
            </w:r>
          </w:p>
        </w:tc>
      </w:tr>
      <w:tr w:rsidR="000A2078">
        <w:tblPrEx>
          <w:tblCellMar>
            <w:top w:w="0" w:type="dxa"/>
            <w:bottom w:w="0" w:type="dxa"/>
          </w:tblCellMar>
        </w:tblPrEx>
        <w:trPr>
          <w:trHeight w:val="1"/>
          <w:jc w:val="center"/>
        </w:trPr>
        <w:tc>
          <w:tcPr>
            <w:tcW w:w="65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proofErr w:type="gramStart"/>
            <w:r>
              <w:rPr>
                <w:rFonts w:ascii="Times New Roman" w:eastAsia="Times New Roman" w:hAnsi="Times New Roman" w:cs="Times New Roman"/>
                <w:sz w:val="24"/>
              </w:rPr>
              <w:lastRenderedPageBreak/>
              <w:t>6)</w:t>
            </w:r>
            <w:proofErr w:type="gramEnd"/>
            <w:r>
              <w:rPr>
                <w:rFonts w:ascii="Times New Roman" w:eastAsia="Times New Roman" w:hAnsi="Times New Roman" w:cs="Times New Roman"/>
                <w:sz w:val="24"/>
              </w:rPr>
              <w:t xml:space="preserve"> Para outros Estados, com pernoite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pPr>
            <w:r>
              <w:rPr>
                <w:rFonts w:ascii="Times New Roman" w:eastAsia="Times New Roman" w:hAnsi="Times New Roman" w:cs="Times New Roman"/>
                <w:sz w:val="24"/>
              </w:rPr>
              <w:t>560,00</w:t>
            </w:r>
          </w:p>
        </w:tc>
      </w:tr>
    </w:tbl>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A2078" w:rsidRDefault="000A2078">
      <w:pPr>
        <w:spacing w:after="160" w:line="259" w:lineRule="auto"/>
        <w:rPr>
          <w:rFonts w:ascii="Times New Roman" w:eastAsia="Times New Roman" w:hAnsi="Times New Roman" w:cs="Times New Roman"/>
          <w:sz w:val="24"/>
        </w:rPr>
      </w:pP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ANEXO III</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RELATÓRIO DE VIAGEM</w:t>
      </w:r>
    </w:p>
    <w:tbl>
      <w:tblPr>
        <w:tblW w:w="0" w:type="auto"/>
        <w:tblInd w:w="98" w:type="dxa"/>
        <w:tblCellMar>
          <w:left w:w="10" w:type="dxa"/>
          <w:right w:w="10" w:type="dxa"/>
        </w:tblCellMar>
        <w:tblLook w:val="0000" w:firstRow="0" w:lastRow="0" w:firstColumn="0" w:lastColumn="0" w:noHBand="0" w:noVBand="0"/>
      </w:tblPr>
      <w:tblGrid>
        <w:gridCol w:w="8622"/>
      </w:tblGrid>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Nome:</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Objetivo da Viagem:</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Destino:</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Período:</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Histórico: </w:t>
            </w: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b/>
                <w:sz w:val="24"/>
              </w:rPr>
            </w:pP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 xml:space="preserve">Comprovantes </w:t>
            </w: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Nota fiscal  (     )  Certificado  (     ) Atestado  (     )  Outros </w:t>
            </w:r>
          </w:p>
        </w:tc>
      </w:tr>
      <w:tr w:rsidR="000A2078">
        <w:tblPrEx>
          <w:tblCellMar>
            <w:top w:w="0" w:type="dxa"/>
            <w:bottom w:w="0" w:type="dxa"/>
          </w:tblCellMar>
        </w:tblPrEx>
        <w:trPr>
          <w:trHeight w:val="1"/>
        </w:trPr>
        <w:tc>
          <w:tcPr>
            <w:tcW w:w="10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pPr>
            <w:r>
              <w:rPr>
                <w:rFonts w:ascii="Times New Roman" w:eastAsia="Times New Roman" w:hAnsi="Times New Roman" w:cs="Times New Roman"/>
                <w:b/>
                <w:sz w:val="24"/>
              </w:rPr>
              <w:t>Assinatura Requerente</w:t>
            </w:r>
          </w:p>
        </w:tc>
      </w:tr>
    </w:tbl>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sz w:val="24"/>
        </w:rPr>
      </w:pP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0A2078" w:rsidRDefault="000A2078">
      <w:pPr>
        <w:spacing w:after="160" w:line="259" w:lineRule="auto"/>
        <w:rPr>
          <w:rFonts w:ascii="Times New Roman" w:eastAsia="Times New Roman" w:hAnsi="Times New Roman" w:cs="Times New Roman"/>
          <w:b/>
          <w:sz w:val="24"/>
        </w:rPr>
      </w:pP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JUSTIFICATIVA</w:t>
      </w:r>
    </w:p>
    <w:p w:rsidR="000A2078" w:rsidRDefault="000A20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b/>
          <w:sz w:val="24"/>
        </w:rPr>
      </w:pP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Prezados Pares, </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Apresentamos Projeto de Lei que dispõe sobre diária dos vereadores e servidores do Poder Legislativo, especialmente visando atender ao princípio da legalidade e ainda aos preceitos estabelecidos no Tribunal de Contas do Estado de Minas Gerais.</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A finalidad</w:t>
      </w:r>
      <w:r>
        <w:rPr>
          <w:rFonts w:ascii="Times New Roman" w:eastAsia="Times New Roman" w:hAnsi="Times New Roman" w:cs="Times New Roman"/>
          <w:sz w:val="24"/>
        </w:rPr>
        <w:t xml:space="preserve">e é afastar qualquer discussão e/ou interpretação equivocada ou distorcida sobre </w:t>
      </w:r>
      <w:proofErr w:type="gramStart"/>
      <w:r>
        <w:rPr>
          <w:rFonts w:ascii="Times New Roman" w:eastAsia="Times New Roman" w:hAnsi="Times New Roman" w:cs="Times New Roman"/>
          <w:sz w:val="24"/>
        </w:rPr>
        <w:t>às</w:t>
      </w:r>
      <w:proofErr w:type="gramEnd"/>
      <w:r>
        <w:rPr>
          <w:rFonts w:ascii="Times New Roman" w:eastAsia="Times New Roman" w:hAnsi="Times New Roman" w:cs="Times New Roman"/>
          <w:sz w:val="24"/>
        </w:rPr>
        <w:t xml:space="preserve"> diárias, valores e forma de recebimento, bem como consolidar o entendimento do Tribunal de Contas e conferir transparência na sua utilização, inclusive por parte dos Edis e</w:t>
      </w:r>
      <w:r>
        <w:rPr>
          <w:rFonts w:ascii="Times New Roman" w:eastAsia="Times New Roman" w:hAnsi="Times New Roman" w:cs="Times New Roman"/>
          <w:sz w:val="24"/>
        </w:rPr>
        <w:t xml:space="preserve"> dos servidores.</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Sendo assim, requeremos o trâmite de urgência especial, na medida em que a matéria carece de atenção individualizada e destacada, portanto, conto com o apoio dos demais pares na discussão e aprovação da matéria.</w:t>
      </w:r>
    </w:p>
    <w:p w:rsidR="000A2078" w:rsidRDefault="00865B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Mesa Diretora </w:t>
      </w:r>
    </w:p>
    <w:sectPr w:rsidR="000A20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2"/>
  </w:compat>
  <w:rsids>
    <w:rsidRoot w:val="000A2078"/>
    <w:rsid w:val="000A2078"/>
    <w:rsid w:val="00865B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F68C1-2D81-4E6A-9777-DC6CB193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1080</Words>
  <Characters>5832</Characters>
  <Application>Microsoft Office Word</Application>
  <DocSecurity>0</DocSecurity>
  <Lines>48</Lines>
  <Paragraphs>13</Paragraphs>
  <ScaleCrop>false</ScaleCrop>
  <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2017-03-23T17:35:00Z</dcterms:created>
  <dcterms:modified xsi:type="dcterms:W3CDTF">2017-03-23T17:42:00Z</dcterms:modified>
</cp:coreProperties>
</file>